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DD6BAC">
        <w:rPr>
          <w:rFonts w:ascii="Arial" w:hAnsi="Arial" w:cs="Arial"/>
          <w:sz w:val="20"/>
          <w:szCs w:val="22"/>
        </w:rPr>
        <w:t>3</w:t>
      </w:r>
      <w:r w:rsidRPr="00754403">
        <w:rPr>
          <w:rFonts w:ascii="Arial" w:hAnsi="Arial" w:cs="Arial"/>
          <w:sz w:val="20"/>
          <w:szCs w:val="22"/>
        </w:rPr>
        <w:t xml:space="preserve"> </w:t>
      </w:r>
      <w:r w:rsidRPr="006E2DDD">
        <w:rPr>
          <w:rFonts w:ascii="Arial" w:hAnsi="Arial" w:cs="Arial"/>
          <w:sz w:val="20"/>
          <w:szCs w:val="22"/>
        </w:rPr>
        <w:t>к протоколу</w:t>
      </w:r>
    </w:p>
    <w:p w:rsidR="00754403" w:rsidRPr="006E2DDD" w:rsidRDefault="001402FB" w:rsidP="00754403">
      <w:pPr>
        <w:ind w:left="5400" w:firstLine="5400"/>
        <w:rPr>
          <w:rFonts w:ascii="Arial" w:hAnsi="Arial" w:cs="Arial"/>
          <w:sz w:val="20"/>
          <w:szCs w:val="22"/>
        </w:rPr>
      </w:pPr>
      <w:r>
        <w:rPr>
          <w:rFonts w:ascii="Arial" w:hAnsi="Arial" w:cs="Arial"/>
          <w:sz w:val="20"/>
          <w:szCs w:val="22"/>
        </w:rPr>
        <w:t>НТК</w:t>
      </w:r>
      <w:r w:rsidR="00DD6BAC">
        <w:rPr>
          <w:rFonts w:ascii="Arial" w:hAnsi="Arial" w:cs="Arial"/>
          <w:sz w:val="20"/>
          <w:szCs w:val="22"/>
        </w:rPr>
        <w:t>А</w:t>
      </w:r>
      <w:r w:rsidR="00754403" w:rsidRPr="006E2DDD">
        <w:rPr>
          <w:rFonts w:ascii="Arial" w:hAnsi="Arial" w:cs="Arial"/>
          <w:sz w:val="20"/>
          <w:szCs w:val="22"/>
        </w:rPr>
        <w:t xml:space="preserve"> № </w:t>
      </w:r>
      <w:r>
        <w:rPr>
          <w:rFonts w:ascii="Arial" w:hAnsi="Arial" w:cs="Arial"/>
          <w:sz w:val="20"/>
          <w:szCs w:val="22"/>
        </w:rPr>
        <w:t>3</w:t>
      </w:r>
      <w:r w:rsidR="00754403">
        <w:rPr>
          <w:rFonts w:ascii="Arial" w:hAnsi="Arial" w:cs="Arial"/>
          <w:sz w:val="20"/>
          <w:szCs w:val="22"/>
        </w:rPr>
        <w:t>8</w:t>
      </w:r>
      <w:r w:rsidR="00754403" w:rsidRPr="006E2DDD">
        <w:rPr>
          <w:rFonts w:ascii="Arial" w:hAnsi="Arial" w:cs="Arial"/>
          <w:sz w:val="20"/>
          <w:szCs w:val="22"/>
        </w:rPr>
        <w:t>-201</w:t>
      </w:r>
      <w:r>
        <w:rPr>
          <w:rFonts w:ascii="Arial" w:hAnsi="Arial" w:cs="Arial"/>
          <w:sz w:val="20"/>
          <w:szCs w:val="22"/>
        </w:rPr>
        <w:t>6</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39"/>
        <w:gridCol w:w="15"/>
        <w:gridCol w:w="5056"/>
        <w:gridCol w:w="24"/>
        <w:gridCol w:w="17"/>
        <w:gridCol w:w="1559"/>
        <w:gridCol w:w="43"/>
        <w:gridCol w:w="1767"/>
        <w:gridCol w:w="34"/>
        <w:gridCol w:w="5766"/>
        <w:gridCol w:w="46"/>
      </w:tblGrid>
      <w:tr w:rsidR="00E86CB4" w:rsidRPr="00A16984" w:rsidTr="00D84548">
        <w:trPr>
          <w:tblHeader/>
        </w:trPr>
        <w:tc>
          <w:tcPr>
            <w:tcW w:w="854"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п/п</w:t>
            </w:r>
          </w:p>
        </w:tc>
        <w:tc>
          <w:tcPr>
            <w:tcW w:w="5080"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D84548">
        <w:tblPrEx>
          <w:tblLook w:val="0000" w:firstRow="0" w:lastRow="0" w:firstColumn="0" w:lastColumn="0" w:noHBand="0" w:noVBand="0"/>
        </w:tblPrEx>
        <w:trPr>
          <w:cantSplit/>
          <w:trHeight w:val="342"/>
        </w:trPr>
        <w:tc>
          <w:tcPr>
            <w:tcW w:w="15166" w:type="dxa"/>
            <w:gridSpan w:val="11"/>
          </w:tcPr>
          <w:p w:rsidR="00E86CB4" w:rsidRPr="00A16984" w:rsidRDefault="00E86CB4"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E86CB4" w:rsidRPr="00A16984" w:rsidTr="00D84548">
        <w:tblPrEx>
          <w:tblLook w:val="0000" w:firstRow="0" w:lastRow="0" w:firstColumn="0" w:lastColumn="0" w:noHBand="0" w:noVBand="0"/>
        </w:tblPrEx>
        <w:trPr>
          <w:trHeight w:val="530"/>
        </w:trPr>
        <w:tc>
          <w:tcPr>
            <w:tcW w:w="854" w:type="dxa"/>
            <w:gridSpan w:val="2"/>
          </w:tcPr>
          <w:p w:rsidR="00E86CB4" w:rsidRPr="00A16984" w:rsidRDefault="00E86CB4" w:rsidP="00AD46FB">
            <w:pPr>
              <w:tabs>
                <w:tab w:val="left" w:pos="6024"/>
              </w:tabs>
              <w:jc w:val="both"/>
              <w:rPr>
                <w:rFonts w:ascii="Arial" w:hAnsi="Arial" w:cs="Arial"/>
                <w:sz w:val="20"/>
              </w:rPr>
            </w:pPr>
            <w:r w:rsidRPr="00A16984">
              <w:rPr>
                <w:rFonts w:ascii="Arial" w:hAnsi="Arial" w:cs="Arial"/>
                <w:sz w:val="20"/>
              </w:rPr>
              <w:t>1.1.</w:t>
            </w:r>
          </w:p>
        </w:tc>
        <w:tc>
          <w:tcPr>
            <w:tcW w:w="5056" w:type="dxa"/>
          </w:tcPr>
          <w:p w:rsidR="00E86CB4" w:rsidRPr="00A16984" w:rsidRDefault="00E86CB4" w:rsidP="005914F5">
            <w:pPr>
              <w:tabs>
                <w:tab w:val="left" w:pos="6024"/>
              </w:tabs>
              <w:jc w:val="both"/>
              <w:rPr>
                <w:rFonts w:ascii="Arial" w:hAnsi="Arial" w:cs="Arial"/>
                <w:sz w:val="20"/>
              </w:rPr>
            </w:pPr>
            <w:r w:rsidRPr="00A16984">
              <w:rPr>
                <w:rFonts w:ascii="Arial" w:hAnsi="Arial" w:cs="Arial"/>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A16984">
                <w:rPr>
                  <w:rFonts w:ascii="Arial" w:hAnsi="Arial" w:cs="Arial"/>
                  <w:sz w:val="20"/>
                </w:rPr>
                <w:t>1992 г</w:t>
              </w:r>
            </w:smartTag>
            <w:r w:rsidRPr="00A16984">
              <w:rPr>
                <w:rFonts w:ascii="Arial" w:hAnsi="Arial" w:cs="Arial"/>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A16984">
                <w:rPr>
                  <w:rFonts w:ascii="Arial" w:hAnsi="Arial" w:cs="Arial"/>
                  <w:sz w:val="20"/>
                </w:rPr>
                <w:t>2007 г</w:t>
              </w:r>
            </w:smartTag>
            <w:r w:rsidRPr="00A16984">
              <w:rPr>
                <w:rFonts w:ascii="Arial" w:hAnsi="Arial" w:cs="Arial"/>
                <w:sz w:val="20"/>
              </w:rPr>
              <w:t>. в г. Ашхабаде.</w:t>
            </w:r>
          </w:p>
        </w:tc>
        <w:tc>
          <w:tcPr>
            <w:tcW w:w="1643" w:type="dxa"/>
            <w:gridSpan w:val="4"/>
          </w:tcPr>
          <w:p w:rsidR="00E86CB4" w:rsidRPr="00A16984" w:rsidRDefault="00AD46FB" w:rsidP="00AD46FB">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7" w:type="dxa"/>
          </w:tcPr>
          <w:p w:rsidR="00E86CB4" w:rsidRPr="00A16984" w:rsidRDefault="00E86CB4" w:rsidP="003567CE">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46" w:type="dxa"/>
            <w:gridSpan w:val="3"/>
          </w:tcPr>
          <w:p w:rsidR="00E86CB4" w:rsidRPr="00A16984" w:rsidRDefault="00E86CB4" w:rsidP="005914F5">
            <w:pPr>
              <w:pStyle w:val="31"/>
              <w:ind w:firstLine="0"/>
              <w:rPr>
                <w:rFonts w:ascii="Arial" w:hAnsi="Arial" w:cs="Arial"/>
                <w:sz w:val="20"/>
              </w:rPr>
            </w:pPr>
          </w:p>
        </w:tc>
      </w:tr>
      <w:tr w:rsidR="00CE7532" w:rsidRPr="00A16984" w:rsidTr="00D84548">
        <w:tblPrEx>
          <w:tblLook w:val="0000" w:firstRow="0" w:lastRow="0" w:firstColumn="0" w:lastColumn="0" w:noHBand="0" w:noVBand="0"/>
        </w:tblPrEx>
        <w:trPr>
          <w:trHeight w:val="530"/>
        </w:trPr>
        <w:tc>
          <w:tcPr>
            <w:tcW w:w="854" w:type="dxa"/>
            <w:gridSpan w:val="2"/>
          </w:tcPr>
          <w:p w:rsidR="00CE7532" w:rsidRDefault="00CE7532" w:rsidP="005914F5">
            <w:pPr>
              <w:tabs>
                <w:tab w:val="left" w:pos="6024"/>
              </w:tabs>
              <w:jc w:val="both"/>
              <w:rPr>
                <w:rFonts w:ascii="Arial" w:hAnsi="Arial" w:cs="Arial"/>
                <w:sz w:val="20"/>
              </w:rPr>
            </w:pPr>
          </w:p>
        </w:tc>
        <w:tc>
          <w:tcPr>
            <w:tcW w:w="5056" w:type="dxa"/>
          </w:tcPr>
          <w:p w:rsidR="00CE7532" w:rsidRPr="00CE7532" w:rsidRDefault="00CE7532" w:rsidP="00CE7532">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4"/>
          </w:tcPr>
          <w:p w:rsidR="00CE7532" w:rsidRPr="00CE7532" w:rsidRDefault="00CE7532" w:rsidP="00894F91">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7" w:type="dxa"/>
          </w:tcPr>
          <w:p w:rsidR="00CE7532" w:rsidRPr="00CE7532" w:rsidRDefault="00CE7532" w:rsidP="005914F5">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46" w:type="dxa"/>
            <w:gridSpan w:val="3"/>
          </w:tcPr>
          <w:p w:rsidR="00CE7532" w:rsidRPr="00A16984" w:rsidRDefault="00CE7532"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t>1.2.</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4"/>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D46FB" w:rsidRPr="00A16984" w:rsidRDefault="00FD6287" w:rsidP="005914F5">
            <w:pPr>
              <w:jc w:val="both"/>
              <w:rPr>
                <w:rFonts w:ascii="Arial" w:hAnsi="Arial" w:cs="Arial"/>
                <w:sz w:val="20"/>
              </w:rPr>
            </w:pPr>
            <w:r>
              <w:rPr>
                <w:rFonts w:ascii="Arial" w:hAnsi="Arial" w:cs="Arial"/>
                <w:sz w:val="20"/>
              </w:rPr>
              <w:t>Вопрос рассматривается на заседаниях МГС</w:t>
            </w: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t>1.3.</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4"/>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2018-2020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D46FB" w:rsidRPr="00A16984" w:rsidRDefault="00AD46FB"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t>1.4.</w:t>
            </w:r>
          </w:p>
        </w:tc>
        <w:tc>
          <w:tcPr>
            <w:tcW w:w="5056" w:type="dxa"/>
          </w:tcPr>
          <w:p w:rsidR="00AD46FB" w:rsidRPr="00A16984" w:rsidRDefault="00AD46FB" w:rsidP="007B3D06">
            <w:pPr>
              <w:tabs>
                <w:tab w:val="left" w:pos="6024"/>
              </w:tabs>
              <w:spacing w:line="240" w:lineRule="exact"/>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4"/>
          </w:tcPr>
          <w:p w:rsidR="00AD46FB" w:rsidRPr="00A16984" w:rsidRDefault="00AD46FB" w:rsidP="005914F5">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5914F5">
            <w:pPr>
              <w:pStyle w:val="31"/>
              <w:ind w:firstLine="0"/>
              <w:jc w:val="center"/>
              <w:rPr>
                <w:rFonts w:ascii="Arial" w:hAnsi="Arial" w:cs="Arial"/>
                <w:sz w:val="20"/>
              </w:rPr>
            </w:pPr>
          </w:p>
        </w:tc>
        <w:tc>
          <w:tcPr>
            <w:tcW w:w="1767" w:type="dxa"/>
          </w:tcPr>
          <w:p w:rsidR="00AD46FB" w:rsidRDefault="00AD46FB" w:rsidP="005914F5">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5914F5">
            <w:pPr>
              <w:pStyle w:val="31"/>
              <w:ind w:firstLine="0"/>
              <w:jc w:val="left"/>
              <w:rPr>
                <w:rFonts w:ascii="Arial" w:hAnsi="Arial" w:cs="Arial"/>
                <w:sz w:val="20"/>
              </w:rPr>
            </w:pPr>
            <w:r>
              <w:rPr>
                <w:rFonts w:ascii="Arial" w:hAnsi="Arial" w:cs="Arial"/>
                <w:sz w:val="20"/>
              </w:rPr>
              <w:t>ИК СНГ</w:t>
            </w:r>
          </w:p>
        </w:tc>
        <w:tc>
          <w:tcPr>
            <w:tcW w:w="5846" w:type="dxa"/>
            <w:gridSpan w:val="3"/>
          </w:tcPr>
          <w:p w:rsidR="00FD6287" w:rsidRPr="00FD6287" w:rsidRDefault="00614D27" w:rsidP="00FD6287">
            <w:pPr>
              <w:pStyle w:val="a8"/>
              <w:spacing w:after="0"/>
              <w:jc w:val="both"/>
              <w:rPr>
                <w:rFonts w:ascii="Arial" w:hAnsi="Arial" w:cs="Arial"/>
                <w:color w:val="000000"/>
                <w:sz w:val="20"/>
              </w:rPr>
            </w:pPr>
            <w:r w:rsidRPr="00FD6287">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w:t>
            </w:r>
            <w:r w:rsidR="00FD6287" w:rsidRPr="00FD6287">
              <w:rPr>
                <w:rFonts w:ascii="Arial" w:hAnsi="Arial" w:cs="Arial"/>
                <w:sz w:val="20"/>
              </w:rPr>
              <w:t>216 от 11.07.2016)</w:t>
            </w:r>
            <w:r w:rsidR="00FD6287" w:rsidRPr="00FD6287">
              <w:rPr>
                <w:rFonts w:ascii="Arial" w:hAnsi="Arial" w:cs="Arial"/>
                <w:color w:val="000000"/>
                <w:sz w:val="20"/>
              </w:rPr>
              <w:t xml:space="preserve"> </w:t>
            </w:r>
            <w:r w:rsidR="00FD6287">
              <w:rPr>
                <w:rFonts w:ascii="Arial" w:hAnsi="Arial" w:cs="Arial"/>
                <w:color w:val="000000"/>
                <w:sz w:val="20"/>
              </w:rPr>
              <w:t xml:space="preserve">для </w:t>
            </w:r>
            <w:r w:rsidR="00FD6287" w:rsidRPr="00FD6287">
              <w:rPr>
                <w:rFonts w:ascii="Arial" w:hAnsi="Arial" w:cs="Arial"/>
                <w:color w:val="000000"/>
                <w:sz w:val="20"/>
              </w:rPr>
              <w:t>рассмотрения в установленном порядке (протоколы № 45-2014, пункт 15, № 49-2016, пункт 13).</w:t>
            </w:r>
            <w:r w:rsidR="00FD6287">
              <w:rPr>
                <w:rFonts w:ascii="Arial" w:hAnsi="Arial" w:cs="Arial"/>
                <w:color w:val="000000"/>
                <w:sz w:val="20"/>
              </w:rPr>
              <w:t xml:space="preserve"> В настоящее время проект Соглашения находиться на рассмотрении в государствах</w:t>
            </w:r>
          </w:p>
          <w:p w:rsidR="00AD46FB" w:rsidRPr="00614D27" w:rsidRDefault="00AD46FB" w:rsidP="00614D27">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A16984" w:rsidRDefault="00AD46FB" w:rsidP="005914F5">
            <w:pPr>
              <w:tabs>
                <w:tab w:val="left" w:pos="6024"/>
              </w:tabs>
              <w:jc w:val="both"/>
              <w:rPr>
                <w:rFonts w:ascii="Arial" w:hAnsi="Arial" w:cs="Arial"/>
                <w:sz w:val="20"/>
              </w:rPr>
            </w:pPr>
            <w:r>
              <w:rPr>
                <w:rFonts w:ascii="Arial" w:hAnsi="Arial" w:cs="Arial"/>
                <w:sz w:val="20"/>
              </w:rPr>
              <w:lastRenderedPageBreak/>
              <w:t>1.5.</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4"/>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5914F5">
            <w:pPr>
              <w:spacing w:line="280" w:lineRule="exact"/>
              <w:jc w:val="both"/>
              <w:rPr>
                <w:rFonts w:ascii="Arial" w:hAnsi="Arial" w:cs="Arial"/>
                <w:sz w:val="20"/>
                <w:lang w:eastAsia="en-US"/>
              </w:rPr>
            </w:pPr>
          </w:p>
        </w:tc>
        <w:tc>
          <w:tcPr>
            <w:tcW w:w="5846" w:type="dxa"/>
            <w:gridSpan w:val="3"/>
          </w:tcPr>
          <w:p w:rsidR="00AD46FB" w:rsidRPr="00A16984" w:rsidRDefault="00AD46FB"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gridSpan w:val="2"/>
          </w:tcPr>
          <w:p w:rsidR="00AD46FB" w:rsidRPr="00F96D19" w:rsidRDefault="00AD46FB" w:rsidP="005914F5">
            <w:pPr>
              <w:tabs>
                <w:tab w:val="left" w:pos="6024"/>
              </w:tabs>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566CDD">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4"/>
          </w:tcPr>
          <w:p w:rsidR="00AD46FB" w:rsidRPr="00F96D19" w:rsidRDefault="00AD46FB" w:rsidP="00AD46FB">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AD46FB" w:rsidRPr="00F96D19" w:rsidRDefault="00AD46FB" w:rsidP="00A362BB">
            <w:pPr>
              <w:jc w:val="both"/>
              <w:rPr>
                <w:rFonts w:ascii="Arial" w:hAnsi="Arial" w:cs="Arial"/>
                <w:sz w:val="20"/>
              </w:rPr>
            </w:pPr>
          </w:p>
        </w:tc>
      </w:tr>
      <w:tr w:rsidR="00FA4A48" w:rsidRPr="00A16984" w:rsidTr="009728D9">
        <w:tblPrEx>
          <w:tblLook w:val="0000" w:firstRow="0" w:lastRow="0" w:firstColumn="0" w:lastColumn="0" w:noHBand="0" w:noVBand="0"/>
        </w:tblPrEx>
        <w:trPr>
          <w:trHeight w:val="530"/>
        </w:trPr>
        <w:tc>
          <w:tcPr>
            <w:tcW w:w="854" w:type="dxa"/>
            <w:gridSpan w:val="2"/>
          </w:tcPr>
          <w:p w:rsidR="00FA4A48" w:rsidRPr="00FA4A48" w:rsidRDefault="00FA4A48" w:rsidP="005914F5">
            <w:pPr>
              <w:tabs>
                <w:tab w:val="left" w:pos="6024"/>
              </w:tabs>
              <w:jc w:val="both"/>
              <w:rPr>
                <w:rFonts w:ascii="Arial" w:hAnsi="Arial" w:cs="Arial"/>
                <w:sz w:val="20"/>
              </w:rPr>
            </w:pPr>
            <w:r w:rsidRPr="00FA4A48">
              <w:rPr>
                <w:rFonts w:ascii="Arial" w:hAnsi="Arial" w:cs="Arial"/>
                <w:sz w:val="20"/>
              </w:rPr>
              <w:t>1.7</w:t>
            </w:r>
          </w:p>
        </w:tc>
        <w:tc>
          <w:tcPr>
            <w:tcW w:w="5056" w:type="dxa"/>
            <w:shd w:val="clear" w:color="auto" w:fill="auto"/>
          </w:tcPr>
          <w:p w:rsidR="00FA4A48" w:rsidRPr="00FA4A48" w:rsidRDefault="00FA4A48" w:rsidP="009728D9">
            <w:pPr>
              <w:jc w:val="both"/>
              <w:rPr>
                <w:rFonts w:ascii="Arial" w:hAnsi="Arial" w:cs="Arial"/>
                <w:b/>
                <w:sz w:val="20"/>
              </w:rPr>
            </w:pPr>
            <w:r w:rsidRPr="009728D9">
              <w:rPr>
                <w:rFonts w:ascii="Arial" w:hAnsi="Arial" w:cs="Arial"/>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4"/>
          </w:tcPr>
          <w:p w:rsidR="00FA4A48" w:rsidRPr="00FA4A48" w:rsidRDefault="00FA4A48" w:rsidP="00FA4A48">
            <w:pPr>
              <w:pStyle w:val="31"/>
              <w:ind w:firstLine="0"/>
              <w:rPr>
                <w:rFonts w:ascii="Arial" w:hAnsi="Arial" w:cs="Arial"/>
                <w:sz w:val="20"/>
              </w:rPr>
            </w:pPr>
            <w:r w:rsidRPr="00FA4A48">
              <w:rPr>
                <w:rFonts w:ascii="Arial" w:hAnsi="Arial" w:cs="Arial"/>
                <w:sz w:val="20"/>
              </w:rPr>
              <w:t>2015-2016</w:t>
            </w:r>
          </w:p>
        </w:tc>
        <w:tc>
          <w:tcPr>
            <w:tcW w:w="1767" w:type="dxa"/>
          </w:tcPr>
          <w:p w:rsidR="00FA4A48" w:rsidRPr="00F96D19" w:rsidRDefault="00FA4A48" w:rsidP="00FA4A48">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A4A48" w:rsidRPr="00FA4A48" w:rsidRDefault="00FA4A48" w:rsidP="005914F5">
            <w:pPr>
              <w:spacing w:line="280" w:lineRule="exact"/>
              <w:jc w:val="both"/>
              <w:rPr>
                <w:rFonts w:ascii="Arial" w:hAnsi="Arial" w:cs="Arial"/>
                <w:b/>
                <w:sz w:val="20"/>
                <w:lang w:eastAsia="en-US"/>
              </w:rPr>
            </w:pPr>
          </w:p>
        </w:tc>
        <w:tc>
          <w:tcPr>
            <w:tcW w:w="5846" w:type="dxa"/>
            <w:gridSpan w:val="3"/>
          </w:tcPr>
          <w:p w:rsidR="00FA4A48" w:rsidRPr="00FA4A48" w:rsidRDefault="00FA4A48" w:rsidP="00FA4A48">
            <w:pPr>
              <w:jc w:val="both"/>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342"/>
        </w:trPr>
        <w:tc>
          <w:tcPr>
            <w:tcW w:w="15120" w:type="dxa"/>
            <w:gridSpan w:val="10"/>
          </w:tcPr>
          <w:p w:rsidR="00D84548" w:rsidRPr="00A20793" w:rsidRDefault="00D84548"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D84548" w:rsidRPr="00A16984" w:rsidTr="00D84548">
        <w:tblPrEx>
          <w:tblLook w:val="0000" w:firstRow="0" w:lastRow="0" w:firstColumn="0" w:lastColumn="0" w:noHBand="0" w:noVBand="0"/>
        </w:tblPrEx>
        <w:trPr>
          <w:gridAfter w:val="1"/>
          <w:wAfter w:w="46" w:type="dxa"/>
          <w:cantSplit/>
          <w:trHeight w:val="342"/>
        </w:trPr>
        <w:tc>
          <w:tcPr>
            <w:tcW w:w="15120" w:type="dxa"/>
            <w:gridSpan w:val="10"/>
          </w:tcPr>
          <w:p w:rsidR="00D84548" w:rsidRPr="00A20793" w:rsidRDefault="00D84548"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D84548" w:rsidRPr="00A16984" w:rsidTr="00D84548">
        <w:tblPrEx>
          <w:tblLook w:val="0000" w:firstRow="0" w:lastRow="0" w:firstColumn="0" w:lastColumn="0" w:noHBand="0" w:noVBand="0"/>
        </w:tblPrEx>
        <w:trPr>
          <w:gridAfter w:val="1"/>
          <w:wAfter w:w="46" w:type="dxa"/>
          <w:cantSplit/>
          <w:trHeight w:val="342"/>
        </w:trPr>
        <w:tc>
          <w:tcPr>
            <w:tcW w:w="839" w:type="dxa"/>
          </w:tcPr>
          <w:p w:rsidR="00D84548" w:rsidRPr="00D23A20" w:rsidRDefault="00D84548" w:rsidP="005914F5">
            <w:pPr>
              <w:tabs>
                <w:tab w:val="left" w:pos="6024"/>
              </w:tabs>
              <w:jc w:val="both"/>
              <w:rPr>
                <w:rFonts w:ascii="Arial" w:hAnsi="Arial" w:cs="Arial"/>
                <w:sz w:val="20"/>
              </w:rPr>
            </w:pPr>
            <w:r>
              <w:rPr>
                <w:rFonts w:ascii="Arial" w:hAnsi="Arial" w:cs="Arial"/>
                <w:sz w:val="20"/>
              </w:rPr>
              <w:t>5.1</w:t>
            </w:r>
          </w:p>
        </w:tc>
        <w:tc>
          <w:tcPr>
            <w:tcW w:w="5112" w:type="dxa"/>
            <w:gridSpan w:val="4"/>
          </w:tcPr>
          <w:p w:rsidR="00D84548" w:rsidRPr="00D23A20" w:rsidRDefault="00D84548" w:rsidP="005914F5">
            <w:pPr>
              <w:tabs>
                <w:tab w:val="left" w:pos="6024"/>
              </w:tabs>
              <w:jc w:val="both"/>
              <w:rPr>
                <w:rFonts w:ascii="Arial" w:hAnsi="Arial" w:cs="Arial"/>
                <w:sz w:val="20"/>
              </w:rPr>
            </w:pPr>
            <w:r w:rsidRPr="00D23A20">
              <w:rPr>
                <w:rFonts w:ascii="Arial" w:hAnsi="Arial" w:cs="Arial"/>
                <w:sz w:val="20"/>
              </w:rPr>
              <w:t>Подготовка и принятие «Соглашения о взаимном признании результатов работ по аккредитации органов по оценке соответствия»</w:t>
            </w:r>
          </w:p>
        </w:tc>
        <w:tc>
          <w:tcPr>
            <w:tcW w:w="1559" w:type="dxa"/>
          </w:tcPr>
          <w:p w:rsidR="00D84548" w:rsidRPr="00A20793" w:rsidRDefault="00D84548" w:rsidP="00894F91">
            <w:pPr>
              <w:suppressAutoHyphens/>
              <w:spacing w:before="120" w:line="240" w:lineRule="exact"/>
              <w:ind w:left="-57" w:right="-57"/>
              <w:jc w:val="center"/>
              <w:rPr>
                <w:rFonts w:ascii="Arial" w:hAnsi="Arial" w:cs="Arial"/>
                <w:sz w:val="20"/>
              </w:rPr>
            </w:pPr>
            <w:r w:rsidRPr="00A20793">
              <w:rPr>
                <w:rFonts w:ascii="Arial" w:hAnsi="Arial" w:cs="Arial"/>
                <w:sz w:val="20"/>
              </w:rPr>
              <w:t>2016–2018</w:t>
            </w:r>
          </w:p>
        </w:tc>
        <w:tc>
          <w:tcPr>
            <w:tcW w:w="1844" w:type="dxa"/>
            <w:gridSpan w:val="3"/>
          </w:tcPr>
          <w:p w:rsidR="00D84548" w:rsidRPr="00A20793" w:rsidRDefault="00D84548" w:rsidP="005914F5">
            <w:pPr>
              <w:spacing w:before="120" w:line="240" w:lineRule="exact"/>
              <w:rPr>
                <w:rFonts w:ascii="Arial" w:hAnsi="Arial" w:cs="Arial"/>
                <w:sz w:val="20"/>
              </w:rPr>
            </w:pPr>
            <w:r w:rsidRPr="00A20793">
              <w:rPr>
                <w:rFonts w:ascii="Arial" w:hAnsi="Arial" w:cs="Arial"/>
                <w:sz w:val="20"/>
              </w:rPr>
              <w:t>Государства – участники СНГ, МГС</w:t>
            </w:r>
          </w:p>
        </w:tc>
        <w:tc>
          <w:tcPr>
            <w:tcW w:w="5766" w:type="dxa"/>
          </w:tcPr>
          <w:p w:rsidR="00D84548" w:rsidRPr="00B4012C" w:rsidRDefault="00B4012C" w:rsidP="005914F5">
            <w:pPr>
              <w:pStyle w:val="31"/>
              <w:ind w:firstLine="0"/>
              <w:rPr>
                <w:rFonts w:ascii="Arial" w:hAnsi="Arial" w:cs="Arial"/>
                <w:b/>
                <w:bCs/>
                <w:sz w:val="20"/>
              </w:rPr>
            </w:pPr>
            <w:r w:rsidRPr="00B4012C">
              <w:rPr>
                <w:rFonts w:ascii="Arial" w:hAnsi="Arial" w:cs="Arial"/>
                <w:sz w:val="20"/>
              </w:rPr>
              <w:t>Проект Соглашения о взаимном признании аккредитации органов по оценке соответс</w:t>
            </w:r>
            <w:r w:rsidRPr="00B4012C">
              <w:rPr>
                <w:rFonts w:ascii="Arial" w:hAnsi="Arial" w:cs="Arial"/>
                <w:sz w:val="20"/>
              </w:rPr>
              <w:t>т</w:t>
            </w:r>
            <w:r w:rsidRPr="00B4012C">
              <w:rPr>
                <w:rFonts w:ascii="Arial" w:hAnsi="Arial" w:cs="Arial"/>
                <w:sz w:val="20"/>
              </w:rPr>
              <w:t>вия повторно рассматривается на НТК по аккредитации в соответствии с решением ЭС СНГ</w:t>
            </w:r>
            <w:r>
              <w:rPr>
                <w:rFonts w:ascii="Arial" w:hAnsi="Arial" w:cs="Arial"/>
                <w:sz w:val="20"/>
              </w:rPr>
              <w:t>. Вопрос внесён на рассмотрение в проект повестки 38-го заседания НТКА</w:t>
            </w: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5.2.</w:t>
            </w:r>
          </w:p>
        </w:tc>
        <w:tc>
          <w:tcPr>
            <w:tcW w:w="5080" w:type="dxa"/>
            <w:gridSpan w:val="2"/>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Создание механизма реализации «Соглашения о взаимном признании аккредитации органов по сертификации и испытательных лабораторий (центров), выполняющих работы по оценке (подтверждению) соответствия»</w:t>
            </w:r>
          </w:p>
        </w:tc>
        <w:tc>
          <w:tcPr>
            <w:tcW w:w="1619" w:type="dxa"/>
            <w:gridSpan w:val="3"/>
          </w:tcPr>
          <w:p w:rsidR="00D84548" w:rsidRPr="00A16984" w:rsidRDefault="00D84548" w:rsidP="00894F91">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2"/>
          </w:tcPr>
          <w:p w:rsidR="00D84548" w:rsidRPr="00A16984" w:rsidRDefault="00D84548" w:rsidP="005914F5">
            <w:pPr>
              <w:pStyle w:val="31"/>
              <w:ind w:firstLine="0"/>
              <w:jc w:val="left"/>
              <w:rPr>
                <w:rFonts w:ascii="Arial" w:hAnsi="Arial" w:cs="Arial"/>
                <w:sz w:val="20"/>
              </w:rPr>
            </w:pPr>
            <w:r w:rsidRPr="00A20793">
              <w:rPr>
                <w:rFonts w:ascii="Arial" w:hAnsi="Arial" w:cs="Arial"/>
                <w:sz w:val="20"/>
              </w:rPr>
              <w:t>Государства – участники СНГ, МГС</w:t>
            </w:r>
          </w:p>
        </w:tc>
        <w:tc>
          <w:tcPr>
            <w:tcW w:w="5766" w:type="dxa"/>
          </w:tcPr>
          <w:p w:rsidR="00D84548" w:rsidRPr="000E0D2D" w:rsidRDefault="000E0D2D" w:rsidP="005914F5">
            <w:pPr>
              <w:tabs>
                <w:tab w:val="left" w:pos="6024"/>
              </w:tabs>
              <w:jc w:val="both"/>
              <w:rPr>
                <w:rFonts w:ascii="Arial" w:hAnsi="Arial" w:cs="Arial"/>
                <w:sz w:val="20"/>
              </w:rPr>
            </w:pPr>
            <w:r w:rsidRPr="000E0D2D">
              <w:rPr>
                <w:rFonts w:ascii="Arial" w:hAnsi="Arial" w:cs="Arial"/>
                <w:sz w:val="20"/>
              </w:rPr>
              <w:t xml:space="preserve">После принятия </w:t>
            </w:r>
            <w:r w:rsidRPr="00D23A20">
              <w:rPr>
                <w:rFonts w:ascii="Arial" w:hAnsi="Arial" w:cs="Arial"/>
                <w:sz w:val="20"/>
              </w:rPr>
              <w:t>«Соглашения о взаимном признании результатов работ по аккредитации органов по оценке соответствия»</w:t>
            </w: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gridSpan w:val="2"/>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5. 3.</w:t>
            </w:r>
          </w:p>
        </w:tc>
        <w:tc>
          <w:tcPr>
            <w:tcW w:w="5080" w:type="dxa"/>
            <w:gridSpan w:val="2"/>
          </w:tcPr>
          <w:p w:rsidR="00D84548" w:rsidRPr="00894F91" w:rsidRDefault="00D84548" w:rsidP="00894F91">
            <w:pPr>
              <w:spacing w:line="240" w:lineRule="exact"/>
              <w:rPr>
                <w:rFonts w:ascii="Arial" w:hAnsi="Arial" w:cs="Arial"/>
                <w:sz w:val="20"/>
              </w:rPr>
            </w:pPr>
            <w:r w:rsidRPr="00894F91">
              <w:rPr>
                <w:rFonts w:ascii="Arial" w:hAnsi="Arial" w:cs="Arial"/>
                <w:sz w:val="20"/>
              </w:rPr>
              <w:t>Проработка вопросов, связанных с созданием Региональной ассоциации органов по аккредитации (РАОА), включая проект Положения о ней</w:t>
            </w:r>
          </w:p>
        </w:tc>
        <w:tc>
          <w:tcPr>
            <w:tcW w:w="1619" w:type="dxa"/>
            <w:gridSpan w:val="3"/>
          </w:tcPr>
          <w:p w:rsidR="00D84548" w:rsidRPr="00894F91" w:rsidRDefault="00D84548" w:rsidP="007B3D06">
            <w:pPr>
              <w:suppressAutoHyphens/>
              <w:spacing w:before="120" w:line="240" w:lineRule="exact"/>
              <w:ind w:left="-57" w:right="-57"/>
              <w:jc w:val="center"/>
              <w:rPr>
                <w:rFonts w:ascii="Arial" w:hAnsi="Arial" w:cs="Arial"/>
                <w:sz w:val="20"/>
              </w:rPr>
            </w:pPr>
            <w:r w:rsidRPr="00894F91">
              <w:rPr>
                <w:rFonts w:ascii="Arial" w:hAnsi="Arial" w:cs="Arial"/>
                <w:sz w:val="20"/>
              </w:rPr>
              <w:t>2016–2018</w:t>
            </w:r>
          </w:p>
        </w:tc>
        <w:tc>
          <w:tcPr>
            <w:tcW w:w="1801" w:type="dxa"/>
            <w:gridSpan w:val="2"/>
          </w:tcPr>
          <w:p w:rsidR="00D84548" w:rsidRPr="00894F91" w:rsidRDefault="00D84548" w:rsidP="005914F5">
            <w:pPr>
              <w:spacing w:before="120" w:line="240" w:lineRule="exact"/>
              <w:rPr>
                <w:rFonts w:ascii="Arial" w:hAnsi="Arial" w:cs="Arial"/>
                <w:sz w:val="20"/>
              </w:rPr>
            </w:pPr>
            <w:r w:rsidRPr="00894F91">
              <w:rPr>
                <w:rFonts w:ascii="Arial" w:hAnsi="Arial" w:cs="Arial"/>
                <w:sz w:val="20"/>
              </w:rPr>
              <w:t>Государства – участники СНГ, МГС</w:t>
            </w:r>
          </w:p>
        </w:tc>
        <w:tc>
          <w:tcPr>
            <w:tcW w:w="5766" w:type="dxa"/>
          </w:tcPr>
          <w:p w:rsidR="00D84548" w:rsidRPr="000E0D2D" w:rsidRDefault="000E0D2D" w:rsidP="005914F5">
            <w:pPr>
              <w:tabs>
                <w:tab w:val="left" w:pos="6024"/>
              </w:tabs>
              <w:jc w:val="both"/>
              <w:rPr>
                <w:rFonts w:ascii="Arial" w:hAnsi="Arial" w:cs="Arial"/>
                <w:sz w:val="20"/>
              </w:rPr>
            </w:pPr>
            <w:r w:rsidRPr="000E0D2D">
              <w:rPr>
                <w:rFonts w:ascii="Arial" w:hAnsi="Arial" w:cs="Arial"/>
                <w:sz w:val="20"/>
              </w:rPr>
              <w:t>Выполняется в рамках программы работ РГ МГС по вопросу создания Региональной организации (ассоциации) органов по аккредитации</w:t>
            </w:r>
          </w:p>
        </w:tc>
      </w:tr>
      <w:tr w:rsidR="00D84548" w:rsidRPr="00A16984" w:rsidTr="00D84548">
        <w:tblPrEx>
          <w:tblLook w:val="0000" w:firstRow="0" w:lastRow="0" w:firstColumn="0" w:lastColumn="0" w:noHBand="0" w:noVBand="0"/>
        </w:tblPrEx>
        <w:trPr>
          <w:gridAfter w:val="1"/>
          <w:wAfter w:w="46" w:type="dxa"/>
          <w:cantSplit/>
          <w:trHeight w:val="1035"/>
        </w:trPr>
        <w:tc>
          <w:tcPr>
            <w:tcW w:w="854" w:type="dxa"/>
            <w:gridSpan w:val="2"/>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5.4.</w:t>
            </w:r>
          </w:p>
        </w:tc>
        <w:tc>
          <w:tcPr>
            <w:tcW w:w="5080" w:type="dxa"/>
            <w:gridSpan w:val="2"/>
          </w:tcPr>
          <w:p w:rsidR="00D84548" w:rsidRPr="001A3A35" w:rsidRDefault="00D84548" w:rsidP="001A3A35">
            <w:pPr>
              <w:spacing w:line="240" w:lineRule="exact"/>
              <w:rPr>
                <w:rFonts w:ascii="Arial" w:hAnsi="Arial" w:cs="Arial"/>
                <w:sz w:val="20"/>
              </w:rPr>
            </w:pPr>
            <w:r w:rsidRPr="001A3A35">
              <w:rPr>
                <w:rFonts w:ascii="Arial" w:hAnsi="Arial" w:cs="Arial"/>
                <w:sz w:val="20"/>
                <w:lang w:val="kk-KZ"/>
              </w:rPr>
              <w:t xml:space="preserve">Согласование и утверждение порядка осуществления взаимных сравнительных оценок, </w:t>
            </w:r>
            <w:r w:rsidRPr="001A3A35">
              <w:rPr>
                <w:rFonts w:ascii="Arial" w:hAnsi="Arial" w:cs="Arial"/>
                <w:sz w:val="20"/>
              </w:rPr>
              <w:t>утверждение перспективного (трехлетнего) плана осуществления взаимных сравнительных оценок</w:t>
            </w:r>
          </w:p>
        </w:tc>
        <w:tc>
          <w:tcPr>
            <w:tcW w:w="1619" w:type="dxa"/>
            <w:gridSpan w:val="3"/>
          </w:tcPr>
          <w:p w:rsidR="00D84548" w:rsidRPr="001A3A35" w:rsidRDefault="00D84548" w:rsidP="007B3D06">
            <w:pPr>
              <w:suppressAutoHyphens/>
              <w:spacing w:before="120" w:line="240" w:lineRule="exact"/>
              <w:ind w:left="-57" w:right="-57"/>
              <w:jc w:val="center"/>
              <w:rPr>
                <w:rFonts w:ascii="Arial" w:hAnsi="Arial" w:cs="Arial"/>
                <w:sz w:val="20"/>
              </w:rPr>
            </w:pPr>
            <w:r w:rsidRPr="001A3A35">
              <w:rPr>
                <w:rFonts w:ascii="Arial" w:hAnsi="Arial" w:cs="Arial"/>
                <w:sz w:val="20"/>
              </w:rPr>
              <w:t>2018–2020</w:t>
            </w:r>
          </w:p>
        </w:tc>
        <w:tc>
          <w:tcPr>
            <w:tcW w:w="1801" w:type="dxa"/>
            <w:gridSpan w:val="2"/>
          </w:tcPr>
          <w:p w:rsidR="00D84548" w:rsidRPr="001A3A35" w:rsidRDefault="00D84548"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D84548" w:rsidRPr="009A6B90" w:rsidRDefault="009A6B90" w:rsidP="005914F5">
            <w:pPr>
              <w:tabs>
                <w:tab w:val="left" w:pos="6024"/>
              </w:tabs>
              <w:jc w:val="both"/>
              <w:rPr>
                <w:rFonts w:ascii="Arial" w:hAnsi="Arial" w:cs="Arial"/>
                <w:sz w:val="20"/>
              </w:rPr>
            </w:pPr>
            <w:r w:rsidRPr="009A6B90">
              <w:rPr>
                <w:rFonts w:ascii="Arial" w:hAnsi="Arial" w:cs="Arial"/>
                <w:sz w:val="20"/>
              </w:rPr>
              <w:t xml:space="preserve">Выполняется в рамках программы работ РГ МГС по вопросу создания Региональной организации (ассоциации) органов по аккредитации  </w:t>
            </w:r>
          </w:p>
        </w:tc>
      </w:tr>
      <w:tr w:rsidR="00D84548"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5.5.</w:t>
            </w:r>
          </w:p>
        </w:tc>
        <w:tc>
          <w:tcPr>
            <w:tcW w:w="5080" w:type="dxa"/>
            <w:gridSpan w:val="2"/>
          </w:tcPr>
          <w:p w:rsidR="00D84548" w:rsidRPr="001A3A35" w:rsidRDefault="00D84548" w:rsidP="001A3A35">
            <w:pPr>
              <w:spacing w:line="240" w:lineRule="exact"/>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19" w:type="dxa"/>
            <w:gridSpan w:val="3"/>
          </w:tcPr>
          <w:p w:rsidR="00D84548" w:rsidRPr="001A3A35" w:rsidRDefault="00D84548" w:rsidP="007B3D06">
            <w:pPr>
              <w:suppressAutoHyphens/>
              <w:spacing w:before="120" w:line="240" w:lineRule="exact"/>
              <w:ind w:left="-57" w:right="-57"/>
              <w:jc w:val="center"/>
              <w:rPr>
                <w:rFonts w:ascii="Arial" w:hAnsi="Arial" w:cs="Arial"/>
                <w:sz w:val="20"/>
              </w:rPr>
            </w:pPr>
            <w:r w:rsidRPr="001A3A35">
              <w:rPr>
                <w:rFonts w:ascii="Arial" w:hAnsi="Arial" w:cs="Arial"/>
                <w:sz w:val="20"/>
              </w:rPr>
              <w:t>2016–2020</w:t>
            </w:r>
          </w:p>
        </w:tc>
        <w:tc>
          <w:tcPr>
            <w:tcW w:w="1801" w:type="dxa"/>
            <w:gridSpan w:val="2"/>
          </w:tcPr>
          <w:p w:rsidR="00D84548" w:rsidRPr="001A3A35" w:rsidRDefault="00D84548"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D84548" w:rsidRPr="009A6B90" w:rsidRDefault="009A6B90" w:rsidP="005914F5">
            <w:pPr>
              <w:tabs>
                <w:tab w:val="left" w:pos="6024"/>
              </w:tabs>
              <w:jc w:val="both"/>
              <w:rPr>
                <w:rFonts w:ascii="Arial" w:hAnsi="Arial" w:cs="Arial"/>
                <w:sz w:val="20"/>
              </w:rPr>
            </w:pPr>
            <w:r w:rsidRPr="009A6B90">
              <w:rPr>
                <w:rFonts w:ascii="Arial" w:hAnsi="Arial" w:cs="Arial"/>
                <w:sz w:val="20"/>
                <w:lang w:val="kk-KZ"/>
              </w:rPr>
              <w:t xml:space="preserve">Информация по вопросам аккредитации государств </w:t>
            </w:r>
            <w:r w:rsidRPr="009A6B90">
              <w:rPr>
                <w:rFonts w:ascii="Arial" w:hAnsi="Arial" w:cs="Arial"/>
                <w:sz w:val="20"/>
              </w:rPr>
              <w:t>–</w:t>
            </w:r>
            <w:r w:rsidRPr="009A6B90">
              <w:rPr>
                <w:rFonts w:ascii="Arial" w:hAnsi="Arial" w:cs="Arial"/>
                <w:sz w:val="20"/>
                <w:lang w:val="kk-KZ"/>
              </w:rPr>
              <w:t xml:space="preserve"> участников СНГ размещена на сайте МГС</w:t>
            </w:r>
          </w:p>
        </w:tc>
      </w:tr>
      <w:tr w:rsidR="00D84548" w:rsidRPr="00A16984" w:rsidTr="00D84548">
        <w:tblPrEx>
          <w:tblLook w:val="0000" w:firstRow="0" w:lastRow="0" w:firstColumn="0" w:lastColumn="0" w:noHBand="0" w:noVBand="0"/>
        </w:tblPrEx>
        <w:trPr>
          <w:gridAfter w:val="1"/>
          <w:wAfter w:w="46" w:type="dxa"/>
          <w:cantSplit/>
          <w:trHeight w:val="755"/>
        </w:trPr>
        <w:tc>
          <w:tcPr>
            <w:tcW w:w="854" w:type="dxa"/>
            <w:gridSpan w:val="2"/>
          </w:tcPr>
          <w:p w:rsidR="00D84548" w:rsidRPr="00A16984" w:rsidRDefault="00D84548" w:rsidP="005914F5">
            <w:pPr>
              <w:tabs>
                <w:tab w:val="left" w:pos="6024"/>
              </w:tabs>
              <w:jc w:val="both"/>
              <w:rPr>
                <w:rFonts w:ascii="Arial" w:hAnsi="Arial" w:cs="Arial"/>
                <w:sz w:val="20"/>
              </w:rPr>
            </w:pPr>
            <w:r>
              <w:rPr>
                <w:rFonts w:ascii="Arial" w:hAnsi="Arial" w:cs="Arial"/>
                <w:sz w:val="20"/>
              </w:rPr>
              <w:lastRenderedPageBreak/>
              <w:t>5.6.</w:t>
            </w:r>
          </w:p>
        </w:tc>
        <w:tc>
          <w:tcPr>
            <w:tcW w:w="5080" w:type="dxa"/>
            <w:gridSpan w:val="2"/>
          </w:tcPr>
          <w:p w:rsidR="00D84548" w:rsidRPr="007B3D06" w:rsidRDefault="00D84548" w:rsidP="00FA19B4">
            <w:pPr>
              <w:spacing w:line="240" w:lineRule="exact"/>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19" w:type="dxa"/>
            <w:gridSpan w:val="3"/>
          </w:tcPr>
          <w:p w:rsidR="00D84548" w:rsidRPr="007B3D06" w:rsidRDefault="00D84548" w:rsidP="005914F5">
            <w:pPr>
              <w:suppressAutoHyphens/>
              <w:spacing w:before="120" w:line="240" w:lineRule="exact"/>
              <w:ind w:left="-57" w:right="-57"/>
              <w:jc w:val="center"/>
              <w:rPr>
                <w:rFonts w:ascii="Arial" w:hAnsi="Arial" w:cs="Arial"/>
                <w:strike/>
                <w:sz w:val="20"/>
              </w:rPr>
            </w:pPr>
            <w:r w:rsidRPr="007B3D06">
              <w:rPr>
                <w:rFonts w:ascii="Arial" w:hAnsi="Arial" w:cs="Arial"/>
                <w:sz w:val="20"/>
              </w:rPr>
              <w:t>2016–2020</w:t>
            </w:r>
          </w:p>
          <w:p w:rsidR="00D84548" w:rsidRPr="007B3D06" w:rsidRDefault="00D84548" w:rsidP="005914F5">
            <w:pPr>
              <w:suppressAutoHyphens/>
              <w:spacing w:before="120" w:line="240" w:lineRule="exact"/>
              <w:ind w:left="-57" w:right="-57"/>
              <w:jc w:val="center"/>
              <w:rPr>
                <w:rFonts w:ascii="Arial" w:hAnsi="Arial" w:cs="Arial"/>
                <w:b/>
                <w:sz w:val="20"/>
              </w:rPr>
            </w:pPr>
          </w:p>
        </w:tc>
        <w:tc>
          <w:tcPr>
            <w:tcW w:w="1801" w:type="dxa"/>
            <w:gridSpan w:val="2"/>
          </w:tcPr>
          <w:p w:rsidR="00D84548" w:rsidRPr="007B3D06" w:rsidRDefault="00D84548"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D84548" w:rsidRPr="00A16984" w:rsidRDefault="009A6B90" w:rsidP="005914F5">
            <w:pPr>
              <w:tabs>
                <w:tab w:val="left" w:pos="6024"/>
              </w:tabs>
              <w:jc w:val="both"/>
              <w:rPr>
                <w:rFonts w:ascii="Arial" w:hAnsi="Arial" w:cs="Arial"/>
                <w:sz w:val="20"/>
              </w:rPr>
            </w:pPr>
            <w:r>
              <w:rPr>
                <w:rFonts w:ascii="Arial" w:hAnsi="Arial" w:cs="Arial"/>
                <w:sz w:val="20"/>
              </w:rPr>
              <w:t>Выполняется частично</w:t>
            </w:r>
            <w:bookmarkStart w:id="0" w:name="_GoBack"/>
            <w:bookmarkEnd w:id="0"/>
          </w:p>
        </w:tc>
      </w:tr>
      <w:tr w:rsidR="00D84548"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D84548" w:rsidRPr="00A16984" w:rsidRDefault="00D84548" w:rsidP="005914F5">
            <w:pPr>
              <w:tabs>
                <w:tab w:val="left" w:pos="6024"/>
              </w:tabs>
              <w:jc w:val="both"/>
              <w:rPr>
                <w:rFonts w:ascii="Arial" w:hAnsi="Arial" w:cs="Arial"/>
                <w:sz w:val="20"/>
              </w:rPr>
            </w:pPr>
            <w:r>
              <w:rPr>
                <w:rFonts w:ascii="Arial" w:hAnsi="Arial" w:cs="Arial"/>
                <w:sz w:val="20"/>
              </w:rPr>
              <w:t>5.7.</w:t>
            </w:r>
          </w:p>
        </w:tc>
        <w:tc>
          <w:tcPr>
            <w:tcW w:w="5080" w:type="dxa"/>
            <w:gridSpan w:val="2"/>
          </w:tcPr>
          <w:p w:rsidR="00D84548" w:rsidRPr="007B3D06" w:rsidRDefault="00D84548" w:rsidP="007B3D06">
            <w:pPr>
              <w:spacing w:line="240" w:lineRule="exact"/>
              <w:rPr>
                <w:rFonts w:ascii="Arial" w:hAnsi="Arial" w:cs="Arial"/>
                <w:sz w:val="20"/>
              </w:rPr>
            </w:pPr>
            <w:r w:rsidRPr="007B3D06">
              <w:rPr>
                <w:rFonts w:ascii="Arial" w:hAnsi="Arial" w:cs="Arial"/>
                <w:sz w:val="20"/>
              </w:rPr>
              <w:t xml:space="preserve">Проведение обучения и стажировок специалистов для выработки  единого подхода по аккредитации органов оценки соответствия в соответствии с международными стандартами </w:t>
            </w:r>
          </w:p>
        </w:tc>
        <w:tc>
          <w:tcPr>
            <w:tcW w:w="1619" w:type="dxa"/>
            <w:gridSpan w:val="3"/>
          </w:tcPr>
          <w:p w:rsidR="00D84548" w:rsidRPr="007B3D06" w:rsidRDefault="00D84548"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D84548" w:rsidRPr="007B3D06" w:rsidRDefault="00D84548"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D84548" w:rsidRPr="00A16984" w:rsidRDefault="00D84548" w:rsidP="005914F5">
            <w:pPr>
              <w:tabs>
                <w:tab w:val="left" w:pos="6024"/>
              </w:tabs>
              <w:jc w:val="both"/>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D84548" w:rsidRPr="00A16984" w:rsidRDefault="00D84548" w:rsidP="005914F5">
            <w:pPr>
              <w:tabs>
                <w:tab w:val="left" w:pos="6024"/>
              </w:tabs>
              <w:jc w:val="both"/>
              <w:rPr>
                <w:rFonts w:ascii="Arial" w:hAnsi="Arial" w:cs="Arial"/>
                <w:sz w:val="20"/>
              </w:rPr>
            </w:pPr>
            <w:r>
              <w:rPr>
                <w:rFonts w:ascii="Arial" w:hAnsi="Arial" w:cs="Arial"/>
                <w:sz w:val="20"/>
              </w:rPr>
              <w:t>5.8.</w:t>
            </w:r>
          </w:p>
        </w:tc>
        <w:tc>
          <w:tcPr>
            <w:tcW w:w="5080" w:type="dxa"/>
            <w:gridSpan w:val="2"/>
          </w:tcPr>
          <w:p w:rsidR="00D84548" w:rsidRPr="007B3D06" w:rsidRDefault="00D84548" w:rsidP="007B3D06">
            <w:pPr>
              <w:spacing w:line="240" w:lineRule="exact"/>
              <w:rPr>
                <w:rFonts w:ascii="Arial" w:hAnsi="Arial" w:cs="Arial"/>
                <w:sz w:val="20"/>
              </w:rPr>
            </w:pPr>
            <w:r w:rsidRPr="007B3D06">
              <w:rPr>
                <w:rFonts w:ascii="Arial" w:hAnsi="Arial" w:cs="Arial"/>
                <w:sz w:val="20"/>
              </w:rPr>
              <w:t>Обмен опытом в области аккредитации органов оценки соответствия по новым направлениям: медицинские лаборатории, судебно-экспертные организации, провайдеры программ профтестирования, провайдеры межлабораторных сличительных испытаний, органы контроля (инспекции), органы по сертификации системы менеджмента безопасности пищевых продуктов и др</w:t>
            </w:r>
            <w:r>
              <w:rPr>
                <w:rFonts w:ascii="Arial" w:hAnsi="Arial" w:cs="Arial"/>
                <w:sz w:val="20"/>
              </w:rPr>
              <w:t>угие</w:t>
            </w:r>
          </w:p>
        </w:tc>
        <w:tc>
          <w:tcPr>
            <w:tcW w:w="1619" w:type="dxa"/>
            <w:gridSpan w:val="3"/>
          </w:tcPr>
          <w:p w:rsidR="00D84548" w:rsidRPr="007B3D06" w:rsidRDefault="00D84548" w:rsidP="007B3D06">
            <w:pPr>
              <w:pageBreakBefore/>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D84548" w:rsidRPr="007B3D06" w:rsidRDefault="00D84548" w:rsidP="005914F5">
            <w:pPr>
              <w:pageBreakBefore/>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D84548" w:rsidRPr="00A16984" w:rsidRDefault="00D84548" w:rsidP="005914F5">
            <w:pPr>
              <w:tabs>
                <w:tab w:val="left" w:pos="6024"/>
              </w:tabs>
              <w:jc w:val="both"/>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1138"/>
        </w:trPr>
        <w:tc>
          <w:tcPr>
            <w:tcW w:w="854" w:type="dxa"/>
            <w:gridSpan w:val="2"/>
          </w:tcPr>
          <w:p w:rsidR="00D84548" w:rsidRPr="00A16984" w:rsidRDefault="00D84548" w:rsidP="005914F5">
            <w:pPr>
              <w:tabs>
                <w:tab w:val="left" w:pos="6024"/>
              </w:tabs>
              <w:jc w:val="both"/>
              <w:rPr>
                <w:rFonts w:ascii="Arial" w:hAnsi="Arial" w:cs="Arial"/>
                <w:sz w:val="20"/>
              </w:rPr>
            </w:pPr>
            <w:r>
              <w:rPr>
                <w:rFonts w:ascii="Arial" w:hAnsi="Arial" w:cs="Arial"/>
                <w:sz w:val="20"/>
              </w:rPr>
              <w:t>5.9.</w:t>
            </w:r>
          </w:p>
        </w:tc>
        <w:tc>
          <w:tcPr>
            <w:tcW w:w="5080" w:type="dxa"/>
            <w:gridSpan w:val="2"/>
          </w:tcPr>
          <w:p w:rsidR="00D84548" w:rsidRPr="007B3D06" w:rsidRDefault="00D84548" w:rsidP="007B3D06">
            <w:pPr>
              <w:spacing w:line="240" w:lineRule="exact"/>
              <w:rPr>
                <w:rFonts w:ascii="Arial" w:hAnsi="Arial" w:cs="Arial"/>
                <w:sz w:val="20"/>
              </w:rPr>
            </w:pPr>
            <w:r w:rsidRPr="007B3D06">
              <w:rPr>
                <w:rFonts w:ascii="Arial" w:hAnsi="Arial" w:cs="Arial"/>
                <w:sz w:val="20"/>
              </w:rPr>
              <w:t xml:space="preserve">Организация и проведение межлабораторных сличительных испытаний (профтестирование) для поддержки аккредитации лабораторий и органов контроля (инспекций), с решением вопросов признания провайдеров программ профтестирования </w:t>
            </w:r>
          </w:p>
        </w:tc>
        <w:tc>
          <w:tcPr>
            <w:tcW w:w="1619" w:type="dxa"/>
            <w:gridSpan w:val="3"/>
          </w:tcPr>
          <w:p w:rsidR="00D84548" w:rsidRPr="007B3D06" w:rsidRDefault="00D84548"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D84548" w:rsidRPr="007B3D06" w:rsidRDefault="00D84548"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D84548" w:rsidRPr="00A16984" w:rsidRDefault="00D84548" w:rsidP="005914F5">
            <w:pPr>
              <w:tabs>
                <w:tab w:val="left" w:pos="6024"/>
              </w:tabs>
              <w:jc w:val="both"/>
              <w:rPr>
                <w:rFonts w:ascii="Arial" w:hAnsi="Arial" w:cs="Arial"/>
                <w:sz w:val="20"/>
              </w:rPr>
            </w:pPr>
          </w:p>
        </w:tc>
      </w:tr>
    </w:tbl>
    <w:p w:rsidR="000A1538" w:rsidRDefault="000A1538"/>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922" w:rsidRDefault="00C92922">
      <w:r>
        <w:separator/>
      </w:r>
    </w:p>
  </w:endnote>
  <w:endnote w:type="continuationSeparator" w:id="0">
    <w:p w:rsidR="00C92922" w:rsidRDefault="00C9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A6B90">
      <w:rPr>
        <w:rStyle w:val="a5"/>
        <w:noProof/>
      </w:rPr>
      <w:t>3</w:t>
    </w:r>
    <w:r>
      <w:rPr>
        <w:rStyle w:val="a5"/>
      </w:rPr>
      <w:fldChar w:fldCharType="end"/>
    </w:r>
  </w:p>
  <w:p w:rsidR="005914F5" w:rsidRPr="001402FB" w:rsidRDefault="001402FB" w:rsidP="005914F5">
    <w:pPr>
      <w:ind w:left="5400" w:hanging="5400"/>
      <w:rPr>
        <w:rFonts w:ascii="Arial" w:hAnsi="Arial" w:cs="Arial"/>
        <w:sz w:val="20"/>
      </w:rPr>
    </w:pPr>
    <w:r w:rsidRPr="001402FB">
      <w:rPr>
        <w:rFonts w:ascii="Arial" w:hAnsi="Arial" w:cs="Arial"/>
        <w:sz w:val="20"/>
      </w:rPr>
      <w:t xml:space="preserve">Приложение № </w:t>
    </w:r>
    <w:r w:rsidR="00DD6BAC">
      <w:rPr>
        <w:rFonts w:ascii="Arial" w:hAnsi="Arial" w:cs="Arial"/>
        <w:sz w:val="20"/>
      </w:rPr>
      <w:t>3</w:t>
    </w:r>
    <w:r w:rsidRPr="001402FB">
      <w:rPr>
        <w:rFonts w:ascii="Arial" w:hAnsi="Arial" w:cs="Arial"/>
        <w:sz w:val="20"/>
      </w:rPr>
      <w:t xml:space="preserve"> к протоколу НТК</w:t>
    </w:r>
    <w:r w:rsidR="00DD6BAC">
      <w:rPr>
        <w:rFonts w:ascii="Arial" w:hAnsi="Arial" w:cs="Arial"/>
        <w:sz w:val="20"/>
      </w:rPr>
      <w:t>А</w:t>
    </w:r>
    <w:r w:rsidRPr="001402FB">
      <w:rPr>
        <w:rFonts w:ascii="Arial" w:hAnsi="Arial" w:cs="Arial"/>
        <w:sz w:val="20"/>
      </w:rPr>
      <w:t xml:space="preserve"> № 38-2016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922" w:rsidRDefault="00C92922">
      <w:r>
        <w:separator/>
      </w:r>
    </w:p>
  </w:footnote>
  <w:footnote w:type="continuationSeparator" w:id="0">
    <w:p w:rsidR="00C92922" w:rsidRDefault="00C929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56C0F"/>
    <w:rsid w:val="00056DF1"/>
    <w:rsid w:val="000A1538"/>
    <w:rsid w:val="000D4418"/>
    <w:rsid w:val="000E0D2D"/>
    <w:rsid w:val="000E553E"/>
    <w:rsid w:val="000F7B90"/>
    <w:rsid w:val="001402FB"/>
    <w:rsid w:val="001947E5"/>
    <w:rsid w:val="001A3A35"/>
    <w:rsid w:val="00217CBB"/>
    <w:rsid w:val="0023359A"/>
    <w:rsid w:val="002475EE"/>
    <w:rsid w:val="002A5B40"/>
    <w:rsid w:val="003140A0"/>
    <w:rsid w:val="003567CE"/>
    <w:rsid w:val="00402F86"/>
    <w:rsid w:val="0052365A"/>
    <w:rsid w:val="00532CBA"/>
    <w:rsid w:val="00547B4E"/>
    <w:rsid w:val="00566CDD"/>
    <w:rsid w:val="005914F5"/>
    <w:rsid w:val="00614D27"/>
    <w:rsid w:val="00641601"/>
    <w:rsid w:val="00694B11"/>
    <w:rsid w:val="00715517"/>
    <w:rsid w:val="00746401"/>
    <w:rsid w:val="00752D79"/>
    <w:rsid w:val="00754403"/>
    <w:rsid w:val="007B3D06"/>
    <w:rsid w:val="007D18A0"/>
    <w:rsid w:val="00825386"/>
    <w:rsid w:val="0085285C"/>
    <w:rsid w:val="00894F91"/>
    <w:rsid w:val="008D413F"/>
    <w:rsid w:val="009728D9"/>
    <w:rsid w:val="009A6B90"/>
    <w:rsid w:val="009C4653"/>
    <w:rsid w:val="00A0695A"/>
    <w:rsid w:val="00A20793"/>
    <w:rsid w:val="00A362BB"/>
    <w:rsid w:val="00AD46FB"/>
    <w:rsid w:val="00AF62DA"/>
    <w:rsid w:val="00B07D34"/>
    <w:rsid w:val="00B36D05"/>
    <w:rsid w:val="00B4012C"/>
    <w:rsid w:val="00BA13B6"/>
    <w:rsid w:val="00BB0811"/>
    <w:rsid w:val="00BB46CB"/>
    <w:rsid w:val="00C92922"/>
    <w:rsid w:val="00C955CD"/>
    <w:rsid w:val="00CE0B73"/>
    <w:rsid w:val="00CE7532"/>
    <w:rsid w:val="00D66F27"/>
    <w:rsid w:val="00D7096C"/>
    <w:rsid w:val="00D84548"/>
    <w:rsid w:val="00DD6BAC"/>
    <w:rsid w:val="00E36CF8"/>
    <w:rsid w:val="00E83936"/>
    <w:rsid w:val="00E86CB4"/>
    <w:rsid w:val="00EF2CC8"/>
    <w:rsid w:val="00F56C2B"/>
    <w:rsid w:val="00F96D19"/>
    <w:rsid w:val="00FA19B4"/>
    <w:rsid w:val="00FA4A48"/>
    <w:rsid w:val="00FD6287"/>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3</Pages>
  <Words>842</Words>
  <Characters>4801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client801_11</cp:lastModifiedBy>
  <cp:revision>40</cp:revision>
  <dcterms:created xsi:type="dcterms:W3CDTF">2015-11-11T06:24:00Z</dcterms:created>
  <dcterms:modified xsi:type="dcterms:W3CDTF">2016-09-19T08:46:00Z</dcterms:modified>
</cp:coreProperties>
</file>